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8300" w:type="dxa"/>
        <w:tblInd w:w="-1701" w:type="dxa"/>
        <w:tblLook w:val="0000" w:firstRow="0" w:lastRow="0" w:firstColumn="0" w:lastColumn="0" w:noHBand="0" w:noVBand="0"/>
      </w:tblPr>
      <w:tblGrid>
        <w:gridCol w:w="460"/>
        <w:gridCol w:w="2340"/>
        <w:gridCol w:w="1700"/>
        <w:gridCol w:w="2838"/>
        <w:gridCol w:w="4418"/>
        <w:gridCol w:w="916"/>
        <w:gridCol w:w="916"/>
        <w:gridCol w:w="916"/>
        <w:gridCol w:w="916"/>
        <w:gridCol w:w="960"/>
        <w:gridCol w:w="960"/>
        <w:gridCol w:w="960"/>
      </w:tblGrid>
      <w:tr>
        <w:tblPrEx/>
        <w:trPr>
          <w:trHeight w:val="315"/>
        </w:trPr>
        <w:tc>
          <w:tcPr>
            <w:shd w:val="clear" w:color="auto" w:fill="auto"/>
            <w:tcW w:w="460" w:type="dxa"/>
            <w:vAlign w:val="bottom"/>
            <w:textDirection w:val="lrTb"/>
            <w:noWrap/>
          </w:tcPr>
          <w:p>
            <w:pPr>
              <w:ind w:left="-5386" w:righ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234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1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283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5"/>
            <w:shd w:val="clear" w:color="auto" w:fill="auto"/>
            <w:tcW w:w="8082" w:type="dxa"/>
            <w:vAlign w:val="bottom"/>
            <w:textDirection w:val="lrTb"/>
            <w:noWrap/>
          </w:tcPr>
          <w:p>
            <w:r>
              <w:t xml:space="preserve">                                           Приложение №1 </w:t>
            </w:r>
            <w:r/>
          </w:p>
          <w:p>
            <w:pPr>
              <w:jc w:val="both"/>
            </w:pPr>
            <w:r>
              <w:t xml:space="preserve">к документации </w:t>
            </w:r>
            <w:r>
              <w:t xml:space="preserve">по запросу ценовых</w:t>
            </w:r>
            <w:r/>
          </w:p>
          <w:p>
            <w:pPr>
              <w:jc w:val="both"/>
              <w:tabs>
                <w:tab w:val="left" w:pos="4034" w:leader="none"/>
              </w:tabs>
            </w:pPr>
            <w:r>
              <w:t xml:space="preserve">предложений на передачу </w:t>
            </w:r>
            <w:r>
              <w:t xml:space="preserve">в собственность </w:t>
            </w:r>
            <w:r/>
          </w:p>
          <w:p>
            <w:pPr>
              <w:jc w:val="both"/>
              <w:tabs>
                <w:tab w:val="left" w:pos="4034" w:leader="none"/>
              </w:tabs>
            </w:pPr>
            <w:r>
              <w:t xml:space="preserve">товара в виде лома черных и цветных </w:t>
            </w:r>
            <w:r/>
          </w:p>
          <w:p>
            <w:pPr>
              <w:jc w:val="both"/>
              <w:tabs>
                <w:tab w:val="left" w:pos="4034" w:leader="none"/>
              </w:tabs>
            </w:pPr>
            <w:r>
              <w:t xml:space="preserve">металлов, образовавшегося в ходе </w:t>
            </w:r>
            <w:r/>
          </w:p>
          <w:p>
            <w:pPr>
              <w:jc w:val="both"/>
              <w:tabs>
                <w:tab w:val="left" w:pos="4034" w:leader="none"/>
              </w:tabs>
            </w:pPr>
            <w:r>
              <w:t xml:space="preserve">производственно-хозяйственной </w:t>
            </w:r>
            <w:r/>
          </w:p>
          <w:p>
            <w:pPr>
              <w:jc w:val="both"/>
              <w:tabs>
                <w:tab w:val="left" w:pos="4034" w:leader="none"/>
              </w:tabs>
            </w:pPr>
            <w:r>
              <w:t xml:space="preserve">деятельности АО «Россети Янтарь»</w:t>
            </w:r>
            <w:r/>
          </w:p>
          <w:p>
            <w:r/>
            <w:r/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4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234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1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283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5"/>
            <w:shd w:val="clear" w:color="auto" w:fill="auto"/>
            <w:tcW w:w="8082" w:type="dxa"/>
            <w:vAlign w:val="bottom"/>
            <w:textDirection w:val="lrTb"/>
            <w:noWrap w:val="false"/>
          </w:tcPr>
          <w:p>
            <w:r>
              <w:t xml:space="preserve">И.о. заместителя генерального директора </w:t>
            </w:r>
            <w:r/>
          </w:p>
          <w:p>
            <w:r>
              <w:t xml:space="preserve">по инвестиционной деятельности </w:t>
            </w:r>
            <w:r/>
          </w:p>
          <w:p>
            <w:r>
              <w:t xml:space="preserve">и капитальному строительству </w:t>
            </w:r>
            <w:r/>
          </w:p>
          <w:p>
            <w:r>
              <w:t xml:space="preserve">АО «Россети</w:t>
            </w:r>
            <w:r>
              <w:t xml:space="preserve"> Янтарь»</w:t>
            </w:r>
            <w:r/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615"/>
        </w:trPr>
        <w:tc>
          <w:tcPr>
            <w:shd w:val="clear" w:color="auto" w:fill="auto"/>
            <w:tcW w:w="4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234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1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283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5"/>
            <w:shd w:val="clear" w:color="auto" w:fill="auto"/>
            <w:tcW w:w="8082" w:type="dxa"/>
            <w:vAlign w:val="bottom"/>
            <w:textDirection w:val="lrTb"/>
            <w:noWrap w:val="false"/>
          </w:tcPr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t xml:space="preserve"> __</w:t>
            </w:r>
            <w:r>
              <w:t xml:space="preserve">________________</w:t>
            </w:r>
            <w:r>
              <w:t xml:space="preserve">__ А.В. Лузанов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/>
            <w:r/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4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234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1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283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4418" w:type="dxa"/>
            <w:vAlign w:val="bottom"/>
            <w:textDirection w:val="lrTb"/>
            <w:noWrap/>
          </w:tcPr>
          <w:p>
            <w:r>
              <w:t xml:space="preserve">"____"</w:t>
            </w:r>
            <w:r>
              <w:t xml:space="preserve"> </w:t>
            </w:r>
            <w:r>
              <w:t xml:space="preserve">__________________</w:t>
            </w:r>
            <w:r>
              <w:t xml:space="preserve">   </w:t>
            </w:r>
            <w:r>
              <w:t xml:space="preserve">20__</w:t>
            </w:r>
            <w:r/>
          </w:p>
        </w:tc>
        <w:tc>
          <w:tcPr>
            <w:shd w:val="clear" w:color="auto" w:fill="auto"/>
            <w:tcW w:w="916" w:type="dxa"/>
            <w:vAlign w:val="bottom"/>
            <w:textDirection w:val="lrTb"/>
            <w:noWrap/>
          </w:tcPr>
          <w:p>
            <w:pPr>
              <w:rPr>
                <w:rFonts w:ascii="Helv" w:hAnsi="Helv" w:cs="Arial"/>
                <w:sz w:val="20"/>
                <w:szCs w:val="20"/>
                <w:highlight w:val="cyan"/>
              </w:rPr>
            </w:pPr>
            <w:r>
              <w:rPr>
                <w:rFonts w:ascii="Helv" w:hAnsi="Helv" w:cs="Arial"/>
                <w:sz w:val="20"/>
                <w:szCs w:val="20"/>
                <w:highlight w:val="cyan"/>
              </w:rPr>
            </w:r>
            <w:r>
              <w:rPr>
                <w:rFonts w:ascii="Helv" w:hAnsi="Helv" w:cs="Arial"/>
                <w:sz w:val="20"/>
                <w:szCs w:val="20"/>
                <w:highlight w:val="cyan"/>
              </w:rPr>
            </w:r>
            <w:r>
              <w:rPr>
                <w:rFonts w:ascii="Helv" w:hAnsi="Helv" w:cs="Arial"/>
                <w:sz w:val="20"/>
                <w:szCs w:val="20"/>
                <w:highlight w:val="cyan"/>
              </w:rPr>
            </w:r>
          </w:p>
        </w:tc>
        <w:tc>
          <w:tcPr>
            <w:shd w:val="clear" w:color="auto" w:fill="auto"/>
            <w:tcW w:w="916" w:type="dxa"/>
            <w:vAlign w:val="bottom"/>
            <w:textDirection w:val="lrTb"/>
            <w:noWrap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  <w:tc>
          <w:tcPr>
            <w:shd w:val="clear" w:color="auto" w:fill="auto"/>
            <w:tcW w:w="916" w:type="dxa"/>
            <w:vAlign w:val="bottom"/>
            <w:textDirection w:val="lrTb"/>
            <w:noWrap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  <w:tc>
          <w:tcPr>
            <w:shd w:val="clear" w:color="auto" w:fill="auto"/>
            <w:tcW w:w="916" w:type="dxa"/>
            <w:vAlign w:val="bottom"/>
            <w:textDirection w:val="lrTb"/>
            <w:noWrap/>
          </w:tcPr>
          <w:p>
            <w:pPr>
              <w:rPr>
                <w:highlight w:val="cyan"/>
              </w:rPr>
            </w:pPr>
            <w:r>
              <w:rPr>
                <w:highlight w:val="cyan"/>
              </w:rPr>
            </w:r>
            <w:r>
              <w:rPr>
                <w:highlight w:val="cyan"/>
              </w:rPr>
            </w:r>
            <w:r>
              <w:rPr>
                <w:highlight w:val="cyan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4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234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1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283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5"/>
            <w:shd w:val="clear" w:color="auto" w:fill="auto"/>
            <w:tcW w:w="8082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60" w:type="dxa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>
      <w:pPr>
        <w:jc w:val="center"/>
        <w:rPr>
          <w:b/>
        </w:rPr>
      </w:pPr>
      <w:r>
        <w:rPr>
          <w:b/>
        </w:rPr>
        <w:t xml:space="preserve">ТЕХНИЧЕСКОЕ ЗАДАНИЕ</w:t>
      </w:r>
      <w:r>
        <w:rPr>
          <w:b/>
        </w:rPr>
      </w:r>
      <w:r>
        <w:rPr>
          <w:b/>
        </w:rPr>
      </w:r>
    </w:p>
    <w:p>
      <w:pPr>
        <w:jc w:val="center"/>
      </w:pPr>
      <w:r>
        <w:t xml:space="preserve">на передачу </w:t>
      </w:r>
      <w:r>
        <w:t xml:space="preserve">в собственность товара в виде лома черных и цветных металлов, </w:t>
      </w:r>
      <w:r/>
    </w:p>
    <w:p>
      <w:pPr>
        <w:jc w:val="center"/>
      </w:pPr>
      <w:r>
        <w:t xml:space="preserve">образовавшегося в ходе производственно-хозяйственной </w:t>
      </w:r>
      <w:r/>
    </w:p>
    <w:p>
      <w:pPr>
        <w:jc w:val="center"/>
      </w:pPr>
      <w:r>
        <w:t xml:space="preserve">деятельности АО «Россети Янтарь»</w:t>
      </w:r>
      <w:r/>
    </w:p>
    <w:p>
      <w:pPr>
        <w:ind w:firstLine="709"/>
      </w:pPr>
      <w:r/>
      <w:r/>
    </w:p>
    <w:p>
      <w:pPr>
        <w:ind w:firstLine="709"/>
        <w:rPr>
          <w:b/>
        </w:rPr>
      </w:pPr>
      <w:r>
        <w:rPr>
          <w:b/>
        </w:rPr>
        <w:t xml:space="preserve">Содержание:</w:t>
      </w:r>
      <w:r>
        <w:rPr>
          <w:b/>
        </w:rPr>
      </w:r>
      <w:r>
        <w:rPr>
          <w:b/>
        </w:rPr>
      </w:r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Предмет передачи в собственность</w:t>
      </w:r>
      <w:r/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Наименование и ассортимент передаваемого в собственность товара</w:t>
      </w:r>
      <w:r/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Срок действия договора</w:t>
      </w:r>
      <w:r/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Правила контроля и приемки работ</w:t>
      </w:r>
      <w:r/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Требования к проведению работ</w:t>
      </w:r>
      <w:r/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Особые условия</w:t>
      </w:r>
      <w:r/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Требования к покупателю</w:t>
      </w:r>
      <w:r/>
    </w:p>
    <w:p>
      <w:pPr>
        <w:numPr>
          <w:ilvl w:val="0"/>
          <w:numId w:val="1"/>
        </w:numPr>
        <w:ind w:left="0" w:firstLine="709"/>
        <w:tabs>
          <w:tab w:val="left" w:pos="1134" w:leader="none"/>
        </w:tabs>
      </w:pPr>
      <w:r>
        <w:t xml:space="preserve">Гарантии покупателя товара</w:t>
      </w:r>
      <w:r/>
    </w:p>
    <w:p>
      <w:pPr>
        <w:ind w:firstLine="709"/>
      </w:pPr>
      <w:r/>
      <w:r/>
    </w:p>
    <w:p>
      <w:pPr>
        <w:ind w:firstLine="709"/>
        <w:rPr>
          <w:b/>
        </w:rPr>
      </w:pPr>
      <w:r>
        <w:rPr>
          <w:b/>
        </w:rPr>
        <w:t xml:space="preserve">1. Предмет передачи в собственность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1.1. Вторичные ресурсы (лом черных и цветных металлов), образовавшихся в ходе производственно-хозяйственной деятельности АО «Россети Янтарь» (далее - Товар).</w:t>
      </w:r>
      <w:r/>
    </w:p>
    <w:p>
      <w:pPr>
        <w:ind w:firstLine="709"/>
      </w:pPr>
      <w:r/>
      <w:r/>
    </w:p>
    <w:p>
      <w:pPr>
        <w:ind w:firstLine="709"/>
        <w:rPr>
          <w:b/>
        </w:rPr>
      </w:pPr>
      <w:r>
        <w:rPr>
          <w:b/>
        </w:rPr>
        <w:t xml:space="preserve">2. Наименование, ассортимент и начальная (минимальная) цена</w:t>
      </w:r>
      <w:r>
        <w:rPr>
          <w:b/>
        </w:rPr>
        <w:t xml:space="preserve"> </w:t>
      </w:r>
      <w:r>
        <w:rPr>
          <w:b/>
        </w:rPr>
        <w:t xml:space="preserve">передаваемого в собственность товара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2.1. Указаны в Приложении №1 к настоящему техническому заданию.</w:t>
      </w:r>
      <w:r/>
    </w:p>
    <w:p>
      <w:pPr>
        <w:ind w:firstLine="709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rPr>
          <w:b/>
        </w:rPr>
      </w:pPr>
      <w:r>
        <w:rPr>
          <w:b/>
        </w:rPr>
        <w:t xml:space="preserve">3. Срок действия договора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3.1. Сроки действия договора:</w:t>
      </w:r>
      <w:r/>
    </w:p>
    <w:p>
      <w:pPr>
        <w:ind w:firstLine="709"/>
        <w:jc w:val="both"/>
      </w:pPr>
      <w:r>
        <w:t xml:space="preserve">Начало – с момента заключения договора.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Окончание – 31 декабря 2027 года.</w:t>
      </w:r>
      <w:r/>
    </w:p>
    <w:p>
      <w:pPr>
        <w:ind w:firstLine="709"/>
      </w:pPr>
      <w:r/>
      <w:r/>
    </w:p>
    <w:p>
      <w:pPr>
        <w:ind w:firstLine="709"/>
        <w:rPr>
          <w:b/>
        </w:rPr>
      </w:pPr>
      <w:r>
        <w:rPr>
          <w:b/>
        </w:rPr>
        <w:t xml:space="preserve">4. Правила контроля и приемки работ</w:t>
      </w:r>
      <w:r>
        <w:rPr>
          <w:b/>
        </w:rPr>
      </w:r>
      <w:r>
        <w:rPr>
          <w:b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Лом черных и цветных металлов.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4.1.1 Передача в собственность лома </w:t>
      </w:r>
      <w:r>
        <w:rPr>
          <w:rFonts w:ascii="Times New Roman" w:hAnsi="Times New Roman"/>
          <w:sz w:val="24"/>
          <w:szCs w:val="24"/>
          <w:highlight w:val="white"/>
        </w:rPr>
        <w:t xml:space="preserve">черных и цветных металлов производится на условиях самовывоза (выборки) Покупателем со складов Грузоотправителей, указанных в </w:t>
      </w:r>
      <w:r>
        <w:rPr>
          <w:rFonts w:ascii="Times New Roman" w:hAnsi="Times New Roman"/>
          <w:sz w:val="24"/>
          <w:szCs w:val="24"/>
          <w:highlight w:val="white"/>
        </w:rPr>
        <w:t xml:space="preserve">Приложении №2 </w:t>
      </w:r>
      <w:r>
        <w:rPr>
          <w:rFonts w:ascii="Times New Roman" w:hAnsi="Times New Roman"/>
          <w:sz w:val="24"/>
          <w:szCs w:val="24"/>
          <w:highlight w:val="white"/>
        </w:rPr>
        <w:t xml:space="preserve">к настоящему техническому заданию.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4.1.2 Выборка лома черных и цветных металлов производится партиями и должна быть выполнена в соответствии с требованиями действующих ППБ и ПОТ. Вид, количество и срок вывоза Товара по каждой партии, указывается в заявках на сдачу лома и отходов металлов.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4.1.3 Резка, сортировка, погрузка-выгрузка, взвешивание и вывоз лома черных и цветных металлов производиться силами и за счет Покупателя.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4.1.4 Взвешивание лома черных и цветных металлов производится на сертифицированных </w:t>
      </w:r>
      <w:r>
        <w:rPr>
          <w:rFonts w:ascii="Times New Roman" w:hAnsi="Times New Roman"/>
          <w:sz w:val="24"/>
          <w:szCs w:val="24"/>
        </w:rPr>
        <w:t xml:space="preserve">весах Продавца в присутствии уполномоченного представителя Покупателя. При отсутствии весов в структурном подразделении Продавца взвешивание производится на согласованных Сторонами сертифицированных весах в присутствии уполномоченных представителей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4.1.5 Прием лома и отходов проводится по масс</w:t>
      </w:r>
      <w:r>
        <w:rPr>
          <w:rFonts w:ascii="Times New Roman" w:hAnsi="Times New Roman"/>
          <w:sz w:val="24"/>
          <w:szCs w:val="24"/>
        </w:rPr>
        <w:t xml:space="preserve">е нетто, определяемой как разность между массой брутто и массой транспортного средства, тары, мусора и максимального процента засоренности, установленного ГОСТ 2787-75 «Металлы черные вторичные» и ГОСТ Р 54564-2011 «Лом и отходы цветных металлов и сплавов»</w:t>
      </w:r>
      <w:r>
        <w:rPr>
          <w:rFonts w:ascii="Times New Roman" w:hAnsi="Times New Roman"/>
          <w:sz w:val="24"/>
          <w:szCs w:val="24"/>
        </w:rPr>
        <w:t xml:space="preserve">. Количество Товара, имеющего засоренность, отличную от указанной определяется на основании взвешивания отобранных проб лома и отходов металлов с обязательным составлением протокола выхода чистого лома металлов в присутствии представителя Грузоотправителя.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4.1.6 Работы по резке, сортировке, погрузке-выгрузке, взвешивании и приемке лома черных и цветных металлов должны производиться в соответствии с режимом работы грузоотправителя.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4.1.7 Выборка, резка, сортировка, погрузка-выгрузка, взвешивание, приемка лома черных и цветных металлов осуществляется с обязательным составлением на каждую партию лома черных и цветных </w:t>
      </w:r>
      <w:r>
        <w:rPr>
          <w:rFonts w:ascii="Times New Roman" w:hAnsi="Times New Roman"/>
          <w:sz w:val="24"/>
          <w:szCs w:val="24"/>
        </w:rPr>
        <w:t xml:space="preserve">металлов приемо-сдаточного акта на площадке Продавца по форме, установленной Постановлением Правительства РФ от 28 мая 2022 г. № 980 "О некоторых вопросах лицензирования деятельности по заготовке, хранению, переработке и реализации лома черных и цветных ме</w:t>
      </w:r>
      <w:r>
        <w:rPr>
          <w:rFonts w:ascii="Times New Roman" w:hAnsi="Times New Roman"/>
          <w:sz w:val="24"/>
          <w:szCs w:val="24"/>
        </w:rPr>
        <w:t xml:space="preserve">таллов, а также обращения с ломом и отходами черных и цветных металлов и их отчуждения". Приемо-сдаточный акт подписывается обеими Сторонами и оформляется на каждую партию лома черных и цветных металлов и подтверждает окончательную приемку лома черных и цв</w:t>
      </w:r>
      <w:r>
        <w:rPr>
          <w:rFonts w:ascii="Times New Roman" w:hAnsi="Times New Roman"/>
          <w:sz w:val="24"/>
          <w:szCs w:val="24"/>
        </w:rPr>
        <w:t xml:space="preserve">етных металлов по качеству и количеству. В случае невозможности проведения работ, указанных </w:t>
      </w:r>
      <w:r>
        <w:rPr>
          <w:rFonts w:ascii="Times New Roman" w:hAnsi="Times New Roman"/>
          <w:sz w:val="24"/>
          <w:szCs w:val="24"/>
          <w:highlight w:val="white"/>
        </w:rPr>
        <w:t xml:space="preserve">в </w:t>
      </w:r>
      <w:r>
        <w:rPr>
          <w:rFonts w:ascii="Times New Roman" w:hAnsi="Times New Roman"/>
          <w:sz w:val="24"/>
          <w:szCs w:val="24"/>
          <w:highlight w:val="white"/>
        </w:rPr>
        <w:t xml:space="preserve">п. 5.1 договора</w:t>
      </w:r>
      <w:r>
        <w:rPr>
          <w:rFonts w:ascii="Times New Roman" w:hAnsi="Times New Roman"/>
          <w:sz w:val="24"/>
          <w:szCs w:val="24"/>
          <w:highlight w:val="white"/>
        </w:rPr>
        <w:t xml:space="preserve">, ра</w:t>
      </w:r>
      <w:r>
        <w:rPr>
          <w:rFonts w:ascii="Times New Roman" w:hAnsi="Times New Roman"/>
          <w:sz w:val="24"/>
          <w:szCs w:val="24"/>
        </w:rPr>
        <w:t xml:space="preserve">боты производятся на площадке Продавца, в присутствии собственника Товара.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</w:pPr>
      <w:r>
        <w:t xml:space="preserve">4.1.8 Транспортные средства, состоящие на учете в ГИБДД, подлежат реализации с условием получения от Покупателя актов об утилизации для дальнейшего снятия их с учета Продавцом в ГИБДД.</w:t>
      </w:r>
      <w:r/>
    </w:p>
    <w:p>
      <w:pPr>
        <w:ind w:firstLine="709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rPr>
          <w:b/>
        </w:rPr>
      </w:pPr>
      <w:r>
        <w:rPr>
          <w:b/>
        </w:rPr>
        <w:t xml:space="preserve">5. Требования к проведению работ (лом черных и цветных металлов)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5.1. Работы по выборке, резке, сортировке, погрузке-разгрузке, приемке и вывозу Товара должны производиться квалифицированным персоналом.</w:t>
      </w:r>
      <w:r/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Производство погрузо-разгрузочных в зоне действия электроустановок, огневых работ на площадке Продавца разрешается только при наличии оформленного акта-допуска (наряда-допуска) установленной формы в соответствии с действующей НТД.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4"/>
        <w:ind w:left="0"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Продавец не несет ответственность за сохранность материалов, оборудования и инструмента Покупателя.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-11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left="-11" w:firstLine="719"/>
        <w:rPr>
          <w:b/>
        </w:rPr>
      </w:pPr>
      <w:r>
        <w:rPr>
          <w:b/>
        </w:rPr>
        <w:t xml:space="preserve">6. Особые условия</w:t>
      </w:r>
      <w:r>
        <w:rPr>
          <w:b/>
        </w:rPr>
      </w:r>
      <w:r>
        <w:rPr>
          <w:b/>
        </w:rPr>
      </w:r>
    </w:p>
    <w:p>
      <w:pPr>
        <w:ind w:firstLine="708"/>
        <w:jc w:val="both"/>
      </w:pPr>
      <w:r>
        <w:t xml:space="preserve">6.1. В случае неисполнения Покупателем условий по оплате и вывозу партий Товара в указанные сроки Продавец вправе отказаться от передачи партии Товара Покупателю и распорядиться заявленной партией по своему усмотрению.</w:t>
      </w:r>
      <w:r/>
    </w:p>
    <w:p>
      <w:pPr>
        <w:ind w:left="-11" w:firstLine="11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-11" w:firstLine="719"/>
        <w:rPr>
          <w:b/>
        </w:rPr>
      </w:pPr>
      <w:r>
        <w:rPr>
          <w:b/>
        </w:rPr>
        <w:t xml:space="preserve">7. Требования к покупателю</w:t>
      </w:r>
      <w:r>
        <w:rPr>
          <w:b/>
        </w:rPr>
      </w:r>
      <w:r>
        <w:rPr>
          <w:b/>
        </w:rPr>
      </w:r>
    </w:p>
    <w:p>
      <w:pPr>
        <w:ind w:firstLine="708"/>
        <w:jc w:val="both"/>
      </w:pPr>
      <w:r>
        <w:t xml:space="preserve">7.1 Обязательные требования:</w:t>
      </w:r>
      <w:r/>
    </w:p>
    <w:p>
      <w:pPr>
        <w:ind w:firstLine="709"/>
        <w:jc w:val="both"/>
      </w:pPr>
      <w:r>
        <w:t xml:space="preserve">7.1.1 Покупатель Товара должен удовлетворять следующим требованиям:</w:t>
      </w:r>
      <w:r/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Обладать гражданской правоспособностью в полном объеме для заключения и исполнения Договора (должен быть зарегистрирован в установленном порядке);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являться неплатежеспособными, банкротами, не находится в процессе ликвидации;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имущество участника в части, существенной для исполнения договора, не должен быть наложен арест, его экономическая деятельность не должна быть приостановлена;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действующую лицензию на осуществление работ по заготовке</w:t>
      </w:r>
      <w:r>
        <w:rPr>
          <w:rFonts w:ascii="Times New Roman" w:hAnsi="Times New Roman"/>
          <w:sz w:val="24"/>
          <w:szCs w:val="24"/>
        </w:rPr>
        <w:t xml:space="preserve">, хранению, переработке и реализации лома черных и цветных металлов (Участник в составе заявки должен предоставить заверенную Нотариусом копию лицензии на осуществление работ по заготовке, хранению, переработке и реализации лома черных и цветных металлов);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действующую лицензию на осуществление деятельности по</w:t>
      </w:r>
      <w:r>
        <w:rPr>
          <w:rFonts w:ascii="Times New Roman" w:hAnsi="Times New Roman"/>
          <w:sz w:val="24"/>
          <w:szCs w:val="24"/>
        </w:rPr>
        <w:t xml:space="preserve"> сбору, обработке, утилизации, </w:t>
      </w:r>
      <w:r>
        <w:rPr>
          <w:rFonts w:ascii="Times New Roman" w:hAnsi="Times New Roman"/>
          <w:sz w:val="24"/>
          <w:szCs w:val="24"/>
        </w:rPr>
        <w:t xml:space="preserve">транспортированию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обезвреживанию, размещению </w:t>
      </w:r>
      <w:r>
        <w:rPr>
          <w:rFonts w:ascii="Times New Roman" w:hAnsi="Times New Roman"/>
          <w:sz w:val="24"/>
          <w:szCs w:val="24"/>
        </w:rPr>
        <w:t xml:space="preserve">отходов </w:t>
      </w:r>
      <w:r>
        <w:rPr>
          <w:rFonts w:ascii="Times New Roman" w:hAnsi="Times New Roman"/>
          <w:sz w:val="24"/>
          <w:szCs w:val="24"/>
        </w:rPr>
        <w:t xml:space="preserve">I</w:t>
      </w: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IV</w:t>
      </w:r>
      <w:r>
        <w:rPr>
          <w:rFonts w:ascii="Times New Roman" w:hAnsi="Times New Roman"/>
          <w:sz w:val="24"/>
          <w:szCs w:val="24"/>
        </w:rPr>
        <w:t xml:space="preserve"> классов опасности (минимальные требования: сбор, обработка, утилизация и транспортирование АКБ, никеля, меди, алюминия, свинца, цинка);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филиалы (представительства) или законное право пользования производственными площадками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. (Участник в составе заявки должен предоставить оригинал справки о наличии филиалов и производственных площадок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 с указанием адресов нахождения, контактных</w:t>
      </w:r>
      <w:r>
        <w:rPr>
          <w:rFonts w:ascii="Times New Roman" w:hAnsi="Times New Roman"/>
          <w:sz w:val="24"/>
          <w:szCs w:val="24"/>
        </w:rPr>
        <w:t xml:space="preserve"> телефонов, уполномоченных представителей законных владельцев (пользователей) площадок с приложением действительных лицензий на осуществление работ по заготовке, хранению, переработке и реализации лома черных и цветных металлов по соответствующим адресам);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иметь сертифицированные весы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. (Участник должен указать сведения о наличии сертифицированных весов и месте их нахождения в справке о материально-технических ресурсах, которые будут использованы в рамках выполнения Договора).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Размер уставного капитала Покупателя должен составлять не менее </w:t>
      </w:r>
      <w:r>
        <w:rPr>
          <w:rFonts w:ascii="Times New Roman" w:hAnsi="Times New Roman"/>
          <w:sz w:val="24"/>
          <w:szCs w:val="24"/>
          <w:highlight w:val="white"/>
        </w:rPr>
        <w:t xml:space="preserve">1 0</w:t>
      </w:r>
      <w:r>
        <w:rPr>
          <w:rFonts w:ascii="Times New Roman" w:hAnsi="Times New Roman"/>
          <w:sz w:val="24"/>
          <w:szCs w:val="24"/>
          <w:highlight w:val="white"/>
        </w:rPr>
        <w:t xml:space="preserve">00 000 (один миллион</w:t>
      </w:r>
      <w:r>
        <w:rPr>
          <w:rFonts w:ascii="Times New Roman" w:hAnsi="Times New Roman"/>
          <w:sz w:val="24"/>
          <w:szCs w:val="24"/>
          <w:highlight w:val="white"/>
        </w:rPr>
        <w:t xml:space="preserve">) рублей.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иметь на правах собственности или аренды автотранспорт и специальную технику, и оборудование в количестве не менее 2 единиц. Краны-манипу</w:t>
      </w:r>
      <w:r>
        <w:rPr>
          <w:rFonts w:ascii="Times New Roman" w:hAnsi="Times New Roman"/>
          <w:sz w:val="24"/>
          <w:szCs w:val="24"/>
          <w:highlight w:val="white"/>
        </w:rPr>
        <w:t xml:space="preserve">ляторы, установленные на специализированное транспортное средство, грузоподъёмностью от 1т и выше, с грузовым моментом от 4 т и выше должны быть зарегистрированы в Ростехнадзоре. (Участник в составе заявки должен предоставить оригинал справки о материально</w:t>
      </w:r>
      <w:r>
        <w:rPr>
          <w:rFonts w:ascii="Times New Roman" w:hAnsi="Times New Roman"/>
          <w:sz w:val="24"/>
          <w:szCs w:val="24"/>
          <w:highlight w:val="white"/>
        </w:rPr>
        <w:t xml:space="preserve">-технических ресурсах, которые будут использованы в рамках выполнения Договора). Основной документ, который подтверждает право собственности автомобиля, паспорт транспортного средства, либо действующий договор лизинга в государственной компании или аренды;</w:t>
      </w: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</w:p>
    <w:p>
      <w:pPr>
        <w:pStyle w:val="923"/>
        <w:numPr>
          <w:ilvl w:val="0"/>
          <w:numId w:val="0"/>
        </w:numPr>
        <w:ind w:left="360"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7.1.2. </w:t>
      </w:r>
      <w:bookmarkStart w:id="0" w:name="undefined"/>
      <w:r>
        <w:rPr>
          <w:rFonts w:ascii="Times New Roman" w:hAnsi="Times New Roman" w:cs="Times New Roman"/>
          <w:b w:val="0"/>
          <w:sz w:val="24"/>
          <w:szCs w:val="24"/>
        </w:rPr>
        <w:t xml:space="preserve">Требования к персоналу Покупателя:</w:t>
      </w:r>
      <w:bookmarkEnd w:id="0"/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25"/>
        <w:ind w:left="567" w:firstLine="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должен иметь собственный квалифицированный персонал, соответствующий характеру выполняемых работ, предусмотренных в данном договоре в количестве не менее 3 человек.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23"/>
        <w:numPr>
          <w:ilvl w:val="0"/>
          <w:numId w:val="0"/>
        </w:numPr>
        <w:ind w:left="360"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7.2. </w:t>
      </w:r>
      <w:bookmarkStart w:id="0" w:name="undefined"/>
      <w:r>
        <w:rPr>
          <w:rFonts w:ascii="Times New Roman" w:hAnsi="Times New Roman" w:cs="Times New Roman"/>
          <w:b w:val="0"/>
          <w:sz w:val="24"/>
          <w:szCs w:val="24"/>
        </w:rPr>
        <w:t xml:space="preserve">Желаемые требования:</w:t>
      </w:r>
      <w:bookmarkEnd w:id="0"/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925"/>
        <w:numPr>
          <w:ilvl w:val="0"/>
          <w:numId w:val="25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должен предоставить возможность подключения компетентным службам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 в режиме реального времени к видеоконтролю поступления и хранения </w:t>
      </w:r>
      <w:r>
        <w:rPr>
          <w:rFonts w:ascii="Times New Roman" w:hAnsi="Times New Roman"/>
          <w:sz w:val="24"/>
          <w:szCs w:val="24"/>
        </w:rPr>
        <w:t xml:space="preserve">передаваемог</w:t>
      </w:r>
      <w:r>
        <w:rPr>
          <w:rFonts w:ascii="Times New Roman" w:hAnsi="Times New Roman"/>
          <w:sz w:val="24"/>
          <w:szCs w:val="24"/>
        </w:rPr>
        <w:t xml:space="preserve">о сырья с подтверждением качества и количества партии. Д</w:t>
      </w:r>
      <w:r>
        <w:rPr>
          <w:rFonts w:ascii="Times New Roman" w:hAnsi="Times New Roman"/>
          <w:sz w:val="24"/>
          <w:szCs w:val="24"/>
        </w:rPr>
        <w:t xml:space="preserve">оступ к видеоконтролю на производственных площадках должен предоставлять в круглосуточном режиме во всех регионах отгрузок Продавца. (Участник в составе заявки должен предоставить оригинал гарантийного письма о возможности подключения уполномоченным лицам </w:t>
      </w:r>
      <w:r>
        <w:rPr>
          <w:rFonts w:ascii="Times New Roman" w:hAnsi="Times New Roman"/>
          <w:sz w:val="24"/>
          <w:szCs w:val="24"/>
        </w:rPr>
        <w:t xml:space="preserve">Продавца</w:t>
      </w:r>
      <w:r>
        <w:rPr>
          <w:rFonts w:ascii="Times New Roman" w:hAnsi="Times New Roman"/>
          <w:sz w:val="24"/>
          <w:szCs w:val="24"/>
        </w:rPr>
        <w:t xml:space="preserve"> в режиме реального времени к видеоконтролю Участника на всех площадках).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</w:pPr>
      <w:r/>
      <w:r/>
    </w:p>
    <w:p>
      <w:pPr>
        <w:ind w:left="-11" w:firstLine="719"/>
        <w:rPr>
          <w:b/>
        </w:rPr>
      </w:pPr>
      <w:r>
        <w:rPr>
          <w:b/>
        </w:rPr>
        <w:t xml:space="preserve">8. Гарантии покупателя товара</w:t>
      </w:r>
      <w:r>
        <w:rPr>
          <w:b/>
        </w:rPr>
      </w:r>
      <w:r>
        <w:rPr>
          <w:b/>
        </w:rPr>
      </w:r>
    </w:p>
    <w:p>
      <w:pPr>
        <w:ind w:firstLine="708"/>
        <w:jc w:val="both"/>
      </w:pPr>
      <w:r>
        <w:t xml:space="preserve">8.1. Покупатель должен гарантировать своевременный вывоз Товара с территории предприятия, после получения заявки от Продавца (срок исполнения – в сроки, указанные в заявке на сдачу лома, после поступления авансового платежа на расчетный счет Поставщика).</w:t>
      </w:r>
      <w:r/>
    </w:p>
    <w:p>
      <w:pPr>
        <w:jc w:val="both"/>
      </w:pPr>
      <w:r/>
      <w:r/>
    </w:p>
    <w:p>
      <w:pPr>
        <w:ind w:left="1701" w:hanging="1701"/>
        <w:jc w:val="both"/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  <w:t xml:space="preserve">Приложение:</w:t>
      </w:r>
      <w:r>
        <w:rPr>
          <w:b/>
          <w:highlight w:val="white"/>
        </w:rPr>
        <w:t xml:space="preserve"> </w:t>
      </w:r>
      <w:r>
        <w:rPr>
          <w:highlight w:val="white"/>
        </w:rPr>
        <w:t xml:space="preserve">1. Наименование, ассортимент, начальная (минимальная) цена </w:t>
      </w:r>
      <w:r>
        <w:rPr>
          <w:highlight w:val="white"/>
        </w:rPr>
        <w:t xml:space="preserve">вторичных ресурсов </w:t>
      </w:r>
      <w:r>
        <w:rPr>
          <w:highlight w:val="white"/>
        </w:rPr>
        <w:t xml:space="preserve">(лом чёрных и цветных металлов) АО «Россети Янтраь» на 2 л. </w:t>
      </w:r>
      <w:r>
        <w:rPr>
          <w:highlight w:val="white"/>
        </w:rPr>
      </w:r>
      <w:r>
        <w:rPr>
          <w:highlight w:val="white"/>
        </w:rPr>
      </w:r>
    </w:p>
    <w:p>
      <w:pPr>
        <w:ind w:left="1418" w:hanging="1985"/>
        <w:jc w:val="both"/>
        <w:shd w:val="clear" w:color="ffffff" w:themeColor="background1" w:fill="ffffff" w:themeFill="background1"/>
      </w:pPr>
      <w:r>
        <w:rPr>
          <w:highlight w:val="white"/>
        </w:rPr>
        <w:tab/>
        <w:t xml:space="preserve">2. Б</w:t>
      </w:r>
      <w:r>
        <w:rPr>
          <w:highlight w:val="white"/>
        </w:rPr>
        <w:t xml:space="preserve">азисы выборки лома черных и цветных металлов </w:t>
      </w:r>
      <w:r>
        <w:rPr>
          <w:highlight w:val="white"/>
        </w:rPr>
        <w:t xml:space="preserve"> на 1 л.</w:t>
      </w:r>
      <w:r>
        <w:rPr>
          <w:highlight w:val="white"/>
        </w:rPr>
        <w:t xml:space="preserve"> </w:t>
      </w:r>
      <w:r>
        <w:rPr>
          <w:highlight w:val="yellow"/>
        </w:rPr>
        <w:t xml:space="preserve">   </w:t>
      </w:r>
      <w:r>
        <w:t xml:space="preserve">    </w:t>
      </w:r>
      <w:r/>
    </w:p>
    <w:p>
      <w:pPr>
        <w:ind w:left="1418" w:hanging="1985"/>
        <w:jc w:val="both"/>
        <w:shd w:val="clear" w:color="ffffff" w:themeColor="background1" w:fill="ffffff" w:themeFill="background1"/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1418" w:hanging="1985"/>
        <w:jc w:val="both"/>
        <w:shd w:val="clear" w:color="ffffff" w:themeColor="background1" w:fill="ffffff" w:themeFill="background1"/>
        <w:rPr>
          <w:highlight w:val="none"/>
        </w:rPr>
      </w:pPr>
      <w:r>
        <w:t xml:space="preserve">             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</w:pPr>
      <w:r/>
      <w:r/>
    </w:p>
    <w:p>
      <w:pPr>
        <w:shd w:val="nil" w:color="auto"/>
      </w:pPr>
      <w:r>
        <w:rPr>
          <w:highlight w:val="none"/>
        </w:rPr>
        <w:t xml:space="preserve">И.о. начальника ДКПиМТО                                                                                           И.А. Гришанов </w:t>
        <w:br w:type="page" w:clear="all"/>
      </w:r>
      <w:r>
        <w:rPr>
          <w:highlight w:val="none"/>
        </w:rPr>
      </w:r>
      <w:r/>
    </w:p>
    <w:p>
      <w:pPr>
        <w:ind w:left="360"/>
        <w:jc w:val="right"/>
        <w:rPr>
          <w:highlight w:val="none"/>
        </w:rPr>
      </w:pPr>
      <w:r/>
      <w:bookmarkStart w:id="0" w:name="_GoBack"/>
      <w:r/>
      <w:bookmarkEnd w:id="0"/>
      <w:r>
        <w:t xml:space="preserve">Приложение №1 </w:t>
      </w:r>
      <w:r>
        <w:rPr>
          <w:highlight w:val="none"/>
        </w:rPr>
      </w:r>
      <w:r>
        <w:rPr>
          <w:highlight w:val="none"/>
        </w:rPr>
      </w:r>
    </w:p>
    <w:p>
      <w:pPr>
        <w:ind w:left="360"/>
        <w:jc w:val="right"/>
      </w:pPr>
      <w:r>
        <w:t xml:space="preserve">к техническому заданию </w:t>
      </w:r>
      <w:r/>
    </w:p>
    <w:p>
      <w:pPr>
        <w:ind w:left="360"/>
        <w:jc w:val="right"/>
        <w:rPr>
          <w:highlight w:val="none"/>
        </w:rPr>
      </w:pPr>
      <w:r>
        <w:t xml:space="preserve"> от «__</w:t>
      </w:r>
      <w:r>
        <w:t xml:space="preserve">_»_</w:t>
      </w:r>
      <w:r>
        <w:t xml:space="preserve">_______________20</w:t>
      </w:r>
      <w:r>
        <w:t xml:space="preserve">2   </w:t>
      </w:r>
      <w:r>
        <w:t xml:space="preserve">г.</w:t>
      </w:r>
      <w:r>
        <w:rPr>
          <w:highlight w:val="none"/>
        </w:rPr>
      </w:r>
      <w:r>
        <w:rPr>
          <w:highlight w:val="none"/>
        </w:rPr>
      </w:r>
    </w:p>
    <w:p>
      <w:pPr>
        <w:ind w:left="360"/>
        <w:jc w:val="right"/>
      </w:pPr>
      <w:r>
        <w:rPr>
          <w:highlight w:val="none"/>
        </w:rPr>
      </w:r>
      <w:r>
        <w:rPr>
          <w:highlight w:val="none"/>
        </w:rPr>
      </w:r>
      <w:r/>
    </w:p>
    <w:tbl>
      <w:tblPr>
        <w:tblpPr w:horzAnchor="text" w:tblpX="-204" w:vertAnchor="text" w:tblpY="1" w:leftFromText="180" w:topFromText="0" w:rightFromText="180" w:bottomFromText="0"/>
        <w:tblW w:w="5149" w:type="pct"/>
        <w:tblLook w:val="04A0" w:firstRow="1" w:lastRow="0" w:firstColumn="1" w:lastColumn="0" w:noHBand="0" w:noVBand="1"/>
      </w:tblPr>
      <w:tblGrid>
        <w:gridCol w:w="801"/>
        <w:gridCol w:w="6090"/>
        <w:gridCol w:w="651"/>
        <w:gridCol w:w="1220"/>
        <w:gridCol w:w="1456"/>
      </w:tblGrid>
      <w:tr>
        <w:tblPrEx/>
        <w:trPr>
          <w:trHeight w:val="450"/>
        </w:trPr>
        <w:tc>
          <w:tcPr>
            <w:shd w:val="clear" w:color="000000" w:fill="ffffff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№п/п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Товара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Ед.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изм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Кол-во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W w:w="14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Цена за 1 тонну, руб. без НДС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Лом чёрных металлов/Стальной лом (включающий: стальной лом и отходы толщиной менее 10 мм. (3А, 5АР); н/г стальной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 и отходы толщиной более 6 мм. (5А); лом для пакетирования №1 и №2 (12А); стальной лом и отходы толщиной менее 6 мм. (12АА); стальной лом от разделки трансформаторов (5А-12А), прочий стальной лом, не входящий в другую номенклатуру ,3,4,5,6;);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8 150,00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Вьюнообразная стружка (14А-16А);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3 880,00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Чугунный лом и отходы (20А); (засор от 4%)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8 150,00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Автомобильный лом (кузова с мостами, двигатели, КПП, сиденья и т.д.) (12АА); (засор от 10%)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8 150,00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Сталь нержавеющая, включая стружку нержавеющей стали;(засор от 2%)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38 800,00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Стальной сердечник (от разделки провода АС); (засор от 0,5%)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7 000,00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многожильный электротехнический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67 900,00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со стальным тросом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58 200,00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со стальным тросом АМГ 1-2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58 200,00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 несущей жилой из сплавов алюминия (за выход алюминия);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58 200,00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Провод алюминиевый с несущей жилой из сплавов алюминия (за выход сплава);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58 200,00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Аккумуляторы свинцовые отработанные неповреждённые, с не слитым электролитом; (засор от 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11 640,00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со свинцовой оболочкой (за выход алюминия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53 350,00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53 350,00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алюминиевый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41 700,00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Алюминиевые сплавы, дюраль, силумин; (засор от 2%)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53 350,00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Медь голая кусок, шина без луды, лом медный микс; (засор от 0,5%)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378 300,00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Латунь, бронза;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208 550,00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со свинцовой оболочкой (за выход меди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194 000,00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29 100,00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Электрокабель медный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226 000,00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Трансформаторы (за выход меди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223 000,00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Трансформаторы (за выход алюминия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48 500,00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Свинец кабельная оболочка;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33 950,00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Свинец переплав; (засор от 3%)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19 400,00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100" w:line="2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W w:w="60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Лом электродвигателей; (засор от 5%)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2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по факту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11 650,00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360"/>
        <w:jc w:val="right"/>
      </w:pPr>
      <w:r/>
      <w:r/>
    </w:p>
    <w:p>
      <w:pPr>
        <w:shd w:val="nil" w:color="auto"/>
      </w:pPr>
      <w:r>
        <w:rPr>
          <w:highlight w:val="none"/>
        </w:rPr>
        <w:br w:type="page" w:clear="all"/>
      </w:r>
      <w:r>
        <w:rPr>
          <w:highlight w:val="none"/>
        </w:rPr>
      </w:r>
      <w:r/>
    </w:p>
    <w:p>
      <w:pPr>
        <w:ind w:left="360"/>
        <w:jc w:val="right"/>
        <w:rPr>
          <w:highlight w:val="none"/>
        </w:rPr>
      </w:pPr>
      <w:r>
        <w:t xml:space="preserve">Приложение №2 </w:t>
      </w:r>
      <w:r>
        <w:rPr>
          <w:highlight w:val="none"/>
        </w:rPr>
      </w:r>
      <w:r>
        <w:rPr>
          <w:highlight w:val="none"/>
        </w:rPr>
      </w:r>
    </w:p>
    <w:p>
      <w:pPr>
        <w:ind w:left="360"/>
        <w:jc w:val="right"/>
      </w:pPr>
      <w:r>
        <w:t xml:space="preserve">к техническому заданию </w:t>
      </w:r>
      <w:r/>
    </w:p>
    <w:p>
      <w:pPr>
        <w:ind w:left="360"/>
        <w:jc w:val="right"/>
      </w:pPr>
      <w:r>
        <w:t xml:space="preserve"> от «__</w:t>
      </w:r>
      <w:r>
        <w:t xml:space="preserve">_»_</w:t>
      </w:r>
      <w:r>
        <w:t xml:space="preserve">_______________20</w:t>
      </w:r>
      <w:r>
        <w:t xml:space="preserve">__ </w:t>
      </w:r>
      <w:r>
        <w:t xml:space="preserve"> </w:t>
      </w:r>
      <w:r>
        <w:t xml:space="preserve">г.</w:t>
      </w:r>
      <w:r/>
    </w:p>
    <w:p>
      <w:pPr>
        <w:ind w:left="6237"/>
        <w:jc w:val="both"/>
        <w:rPr>
          <w:bCs/>
          <w:iCs/>
        </w:rPr>
      </w:pPr>
      <w:r>
        <w:rPr>
          <w:bCs/>
          <w:iCs/>
        </w:rPr>
      </w:r>
      <w:r>
        <w:rPr>
          <w:bCs/>
          <w:iCs/>
        </w:rPr>
      </w:r>
      <w:r>
        <w:rPr>
          <w:bCs/>
          <w:iCs/>
        </w:rPr>
      </w:r>
    </w:p>
    <w:p>
      <w:pPr>
        <w:ind w:left="6237"/>
        <w:jc w:val="both"/>
        <w:rPr>
          <w:bCs/>
          <w:iCs/>
          <w:color w:val="000000" w:themeColor="text1"/>
          <w:sz w:val="26"/>
          <w:szCs w:val="26"/>
        </w:rPr>
      </w:pPr>
      <w:r>
        <w:rPr>
          <w:bCs/>
          <w:iCs/>
          <w:color w:val="000000" w:themeColor="text1"/>
          <w:sz w:val="26"/>
          <w:szCs w:val="26"/>
        </w:rPr>
      </w:r>
      <w:r>
        <w:rPr>
          <w:bCs/>
          <w:iCs/>
          <w:color w:val="000000" w:themeColor="text1"/>
          <w:sz w:val="26"/>
          <w:szCs w:val="26"/>
        </w:rPr>
      </w:r>
      <w:r>
        <w:rPr>
          <w:bCs/>
          <w:iCs/>
          <w:color w:val="000000" w:themeColor="text1"/>
          <w:sz w:val="26"/>
          <w:szCs w:val="26"/>
        </w:rPr>
      </w:r>
    </w:p>
    <w:p>
      <w:pPr>
        <w:jc w:val="center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t xml:space="preserve">Базисы выборки лома черных и цветных металлов</w:t>
      </w:r>
      <w:r>
        <w:rPr>
          <w:sz w:val="28"/>
          <w:szCs w:val="26"/>
        </w:rPr>
        <w:t xml:space="preserve"> АО «Россети Янтарь»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236016, Калининградская область, г Калининград, ул Фрунзе, д. 11Б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236016, Калининградская область, г Калининград, ул. Аллея Смелых, 86А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236016, Калининградская область, г Калининград, ул. Красносельская, 83А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236022, Калининградская область, г Калининград, ул Театральная, д. 34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236029, Калининградская область, г Калининград, ул Нарвская, д. 55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236040, Калининградская область, г Калининград, ул Генерал-лейтенанта Озерова, д. 18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236029, Калининградская область, р-н Гурьевский, п Кутузово, ул Промышленная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238010, Калининградская область, р-н Нестеровский, г Нестеров, ул Маяковского,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238050, Калининградская область, г Гусев, ул Московская, д. 31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238120, Калининградская область, г Озерск, ул Московская, д. 11А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238120, Калининградская область, г Озерск, ул Пограничная, д. 37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238150, Калининградская область, г Черняховск, ул Дачная, д. 36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238150, Калининградская область, г Черняховск, ул Железнодорожная, д. 16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238153, Калининградская область, г Черняховск, ул Гусевское шоссе, д. 23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238153, Калининградская область, г Черняховск, ул Гусевское шоссе, д. 34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238210, Калининградская область, г Гвардейск, ул Ключевая, д. 3А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238300, Калининградская область, г. Гурьевск, ул Калининградское шоссе, д. 15А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238326, Калининградская область, г Зеленоградск, ул Ткаченко, д. 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238340, Калининградская область, г Светлый, ул Центральная, д. 18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238400, Калининградская область, г Правдинск, тер ГЭС-3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238410, Калининградская область, р-н Правдинский, п Железнодорожный, ул Коммунистическая, д. 64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238420, Калининградская область, г Багратионовск, ул Пограничная, д. 87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238450, Калининградская область, г Мамоново, пер Пограничный,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238522, Калининградская область, р-н Гурьевский, п Ново-Дорожный, ул Энергетиков, д.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238560, Калининградская область, г Светлогорск, ул Балтийская,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238563, Калининградская область, г Светлогорск, ул Железнодорожная, зд. 15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238600, Калининградская область, г Славск, ул Новая, д. 14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238620, Калининградская область, р-н Славский, п Большаково, ул Привокзальная,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238630, Калининградская область, р-н Полесский, г Полесск, ул Почтовая, д. 15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238710, Калининградская область, р-н Неманский, г Неман, ул Чайковского, д.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238730, Калининградская область, р-н Краснознаменский, г Краснознаменск, ул Советская, д. 60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238750, Калининградская область, г Советск, ул Киевская, д.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238752, Калининградская область, г Советск, ул Александра Невского, д.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238753, Калининградская область, г Советск, ул Кутузова, д. 21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4"/>
        <w:numPr>
          <w:ilvl w:val="0"/>
          <w:numId w:val="27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238755, Калининградская область, г Советск, ул Липовая, д. 84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2240" w:h="15840" w:orient="portrait"/>
      <w:pgMar w:top="709" w:right="616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">
    <w:panose1 w:val="02000603000000000000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onsolas">
    <w:panose1 w:val="020B06060202020302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tab"/>
      <w:lvlText w:val=""/>
      <w:lvlJc w:val="left"/>
      <w:pPr/>
    </w:lvl>
    <w:lvl w:ilvl="1">
      <w:start w:val="1"/>
      <w:numFmt w:val="none"/>
      <w:isLgl w:val="false"/>
      <w:suff w:val="tab"/>
      <w:lvlText w:val=""/>
      <w:lvlJc w:val="left"/>
      <w:pPr/>
    </w:lvl>
    <w:lvl w:ilvl="2">
      <w:start w:val="1"/>
      <w:numFmt w:val="none"/>
      <w:isLgl w:val="false"/>
      <w:suff w:val="tab"/>
      <w:lvlText w:val=""/>
      <w:lvlJc w:val="left"/>
      <w:pPr/>
    </w:lvl>
    <w:lvl w:ilvl="3">
      <w:start w:val="1"/>
      <w:numFmt w:val="decimal"/>
      <w:pStyle w:val="876"/>
      <w:isLgl w:val="false"/>
      <w:suff w:val="tab"/>
      <w:lvlText w:val=".%4"/>
      <w:legacy w:legacy="1" w:legacyIndent="864" w:legacySpace="120"/>
      <w:lvlJc w:val="left"/>
      <w:pPr>
        <w:ind w:left="864" w:hanging="864"/>
      </w:pPr>
    </w:lvl>
    <w:lvl w:ilvl="4">
      <w:start w:val="1"/>
      <w:numFmt w:val="decimal"/>
      <w:pStyle w:val="877"/>
      <w:isLgl w:val="false"/>
      <w:suff w:val="tab"/>
      <w:lvlText w:val=".%4.%5"/>
      <w:legacy w:legacy="1" w:legacyIndent="1008" w:legacySpace="120"/>
      <w:lvlJc w:val="left"/>
      <w:pPr>
        <w:ind w:left="1008" w:hanging="1008"/>
      </w:pPr>
    </w:lvl>
    <w:lvl w:ilvl="5">
      <w:start w:val="1"/>
      <w:numFmt w:val="decimal"/>
      <w:pStyle w:val="878"/>
      <w:isLgl w:val="false"/>
      <w:suff w:val="tab"/>
      <w:lvlText w:val=".%4.%5.%6"/>
      <w:legacy w:legacy="1" w:legacyIndent="1152" w:legacySpace="120"/>
      <w:lvlJc w:val="left"/>
      <w:pPr>
        <w:ind w:left="1152" w:hanging="1152"/>
      </w:pPr>
    </w:lvl>
    <w:lvl w:ilvl="6">
      <w:start w:val="1"/>
      <w:numFmt w:val="decimal"/>
      <w:pStyle w:val="879"/>
      <w:isLgl w:val="false"/>
      <w:suff w:val="tab"/>
      <w:lvlText w:val=".%4.%5.%6.%7"/>
      <w:legacy w:legacy="1" w:legacyIndent="1296" w:legacySpace="120"/>
      <w:lvlJc w:val="left"/>
      <w:pPr>
        <w:ind w:left="1296" w:hanging="1296"/>
      </w:pPr>
    </w:lvl>
    <w:lvl w:ilvl="7">
      <w:start w:val="1"/>
      <w:numFmt w:val="decimal"/>
      <w:pStyle w:val="880"/>
      <w:isLgl w:val="false"/>
      <w:suff w:val="tab"/>
      <w:lvlText w:val=".%4.%5.%6.%7.%8"/>
      <w:legacy w:legacy="1" w:legacyIndent="1440" w:legacySpace="120"/>
      <w:lvlJc w:val="left"/>
      <w:pPr>
        <w:ind w:left="1440" w:hanging="1440"/>
      </w:pPr>
    </w:lvl>
    <w:lvl w:ilvl="8">
      <w:start w:val="1"/>
      <w:numFmt w:val="decimal"/>
      <w:pStyle w:val="881"/>
      <w:isLgl w:val="false"/>
      <w:suff w:val="tab"/>
      <w:lvlText w:val=".%4.%5.%6.%7.%8.%9"/>
      <w:legacy w:legacy="1" w:legacyIndent="1584" w:legacySpace="120"/>
      <w:lvlJc w:val="left"/>
      <w:pPr>
        <w:ind w:left="1584" w:hanging="1584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4187" w:hanging="360"/>
      </w:pPr>
      <w:rPr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9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6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4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1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8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5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2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0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7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7"/>
      <w:numFmt w:val="decimal"/>
      <w:isLgl w:val="false"/>
      <w:suff w:val="tab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0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6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721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1" w:hanging="180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00" w:hanging="360"/>
        <w:tabs>
          <w:tab w:val="num" w:pos="90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20" w:hanging="360"/>
        <w:tabs>
          <w:tab w:val="num" w:pos="1620" w:leader="none"/>
        </w:tabs>
      </w:pPr>
      <w:rPr>
        <w:rFonts w:hint="default"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5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pStyle w:val="923"/>
      <w:isLgl w:val="false"/>
      <w:suff w:val="tab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</w:rPr>
    </w:lvl>
    <w:lvl w:ilvl="2">
      <w:start w:val="1"/>
      <w:numFmt w:val="decimal"/>
      <w:pStyle w:val="924"/>
      <w:isLgl w:val="false"/>
      <w:suff w:val="tab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21"/>
  </w:num>
  <w:num w:numId="3">
    <w:abstractNumId w:val="6"/>
  </w:num>
  <w:num w:numId="4">
    <w:abstractNumId w:val="8"/>
  </w:num>
  <w:num w:numId="5">
    <w:abstractNumId w:val="22"/>
  </w:num>
  <w:num w:numId="6">
    <w:abstractNumId w:val="3"/>
  </w:num>
  <w:num w:numId="7">
    <w:abstractNumId w:val="15"/>
  </w:num>
  <w:num w:numId="8">
    <w:abstractNumId w:val="7"/>
  </w:num>
  <w:num w:numId="9">
    <w:abstractNumId w:val="2"/>
  </w:num>
  <w:num w:numId="10">
    <w:abstractNumId w:val="1"/>
  </w:num>
  <w:num w:numId="11">
    <w:abstractNumId w:val="19"/>
  </w:num>
  <w:num w:numId="12">
    <w:abstractNumId w:val="14"/>
  </w:num>
  <w:num w:numId="13">
    <w:abstractNumId w:val="10"/>
  </w:num>
  <w:num w:numId="14">
    <w:abstractNumId w:val="4"/>
  </w:num>
  <w:num w:numId="15">
    <w:abstractNumId w:val="9"/>
  </w:num>
  <w:num w:numId="16">
    <w:abstractNumId w:val="13"/>
  </w:num>
  <w:num w:numId="17">
    <w:abstractNumId w:val="20"/>
  </w:num>
  <w:num w:numId="1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5"/>
  </w:num>
  <w:num w:numId="22">
    <w:abstractNumId w:val="12"/>
  </w:num>
  <w:num w:numId="23">
    <w:abstractNumId w:val="17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Heading 1 Char"/>
    <w:basedOn w:val="882"/>
    <w:link w:val="873"/>
    <w:uiPriority w:val="9"/>
    <w:rPr>
      <w:rFonts w:ascii="Arial" w:hAnsi="Arial" w:eastAsia="Arial" w:cs="Arial"/>
      <w:sz w:val="40"/>
      <w:szCs w:val="40"/>
    </w:rPr>
  </w:style>
  <w:style w:type="character" w:styleId="711">
    <w:name w:val="Heading 2 Char"/>
    <w:basedOn w:val="882"/>
    <w:link w:val="874"/>
    <w:uiPriority w:val="9"/>
    <w:rPr>
      <w:rFonts w:ascii="Arial" w:hAnsi="Arial" w:eastAsia="Arial" w:cs="Arial"/>
      <w:sz w:val="34"/>
    </w:rPr>
  </w:style>
  <w:style w:type="character" w:styleId="712">
    <w:name w:val="Heading 3 Char"/>
    <w:basedOn w:val="882"/>
    <w:link w:val="875"/>
    <w:uiPriority w:val="9"/>
    <w:rPr>
      <w:rFonts w:ascii="Arial" w:hAnsi="Arial" w:eastAsia="Arial" w:cs="Arial"/>
      <w:sz w:val="30"/>
      <w:szCs w:val="30"/>
    </w:rPr>
  </w:style>
  <w:style w:type="character" w:styleId="713">
    <w:name w:val="Heading 4 Char"/>
    <w:basedOn w:val="882"/>
    <w:link w:val="876"/>
    <w:uiPriority w:val="9"/>
    <w:rPr>
      <w:rFonts w:ascii="Arial" w:hAnsi="Arial" w:eastAsia="Arial" w:cs="Arial"/>
      <w:b/>
      <w:bCs/>
      <w:sz w:val="26"/>
      <w:szCs w:val="26"/>
    </w:rPr>
  </w:style>
  <w:style w:type="character" w:styleId="714">
    <w:name w:val="Heading 5 Char"/>
    <w:basedOn w:val="882"/>
    <w:link w:val="877"/>
    <w:uiPriority w:val="9"/>
    <w:rPr>
      <w:rFonts w:ascii="Arial" w:hAnsi="Arial" w:eastAsia="Arial" w:cs="Arial"/>
      <w:b/>
      <w:bCs/>
      <w:sz w:val="24"/>
      <w:szCs w:val="24"/>
    </w:rPr>
  </w:style>
  <w:style w:type="character" w:styleId="715">
    <w:name w:val="Heading 6 Char"/>
    <w:basedOn w:val="882"/>
    <w:link w:val="878"/>
    <w:uiPriority w:val="9"/>
    <w:rPr>
      <w:rFonts w:ascii="Arial" w:hAnsi="Arial" w:eastAsia="Arial" w:cs="Arial"/>
      <w:b/>
      <w:bCs/>
      <w:sz w:val="22"/>
      <w:szCs w:val="22"/>
    </w:rPr>
  </w:style>
  <w:style w:type="character" w:styleId="716">
    <w:name w:val="Heading 7 Char"/>
    <w:basedOn w:val="882"/>
    <w:link w:val="8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8 Char"/>
    <w:basedOn w:val="882"/>
    <w:link w:val="880"/>
    <w:uiPriority w:val="9"/>
    <w:rPr>
      <w:rFonts w:ascii="Arial" w:hAnsi="Arial" w:eastAsia="Arial" w:cs="Arial"/>
      <w:i/>
      <w:iCs/>
      <w:sz w:val="22"/>
      <w:szCs w:val="22"/>
    </w:rPr>
  </w:style>
  <w:style w:type="character" w:styleId="718">
    <w:name w:val="Heading 9 Char"/>
    <w:basedOn w:val="882"/>
    <w:link w:val="881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Title"/>
    <w:basedOn w:val="872"/>
    <w:next w:val="872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basedOn w:val="882"/>
    <w:link w:val="719"/>
    <w:uiPriority w:val="10"/>
    <w:rPr>
      <w:sz w:val="48"/>
      <w:szCs w:val="48"/>
    </w:rPr>
  </w:style>
  <w:style w:type="paragraph" w:styleId="721">
    <w:name w:val="Subtitle"/>
    <w:basedOn w:val="872"/>
    <w:next w:val="872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basedOn w:val="882"/>
    <w:link w:val="721"/>
    <w:uiPriority w:val="11"/>
    <w:rPr>
      <w:sz w:val="24"/>
      <w:szCs w:val="24"/>
    </w:rPr>
  </w:style>
  <w:style w:type="paragraph" w:styleId="723">
    <w:name w:val="Quote"/>
    <w:basedOn w:val="872"/>
    <w:next w:val="872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2"/>
    <w:next w:val="872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character" w:styleId="727">
    <w:name w:val="Header Char"/>
    <w:basedOn w:val="882"/>
    <w:link w:val="910"/>
    <w:uiPriority w:val="99"/>
  </w:style>
  <w:style w:type="character" w:styleId="728">
    <w:name w:val="Footer Char"/>
    <w:basedOn w:val="882"/>
    <w:link w:val="921"/>
    <w:uiPriority w:val="99"/>
  </w:style>
  <w:style w:type="paragraph" w:styleId="729">
    <w:name w:val="Caption"/>
    <w:basedOn w:val="872"/>
    <w:next w:val="872"/>
    <w:link w:val="7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basedOn w:val="882"/>
    <w:link w:val="729"/>
    <w:uiPriority w:val="35"/>
    <w:rPr>
      <w:b/>
      <w:bCs/>
      <w:color w:val="4f81bd" w:themeColor="accent1"/>
      <w:sz w:val="18"/>
      <w:szCs w:val="18"/>
    </w:rPr>
  </w:style>
  <w:style w:type="table" w:styleId="731">
    <w:name w:val="Table Grid"/>
    <w:basedOn w:val="8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7">
    <w:name w:val="Footnote Text Char"/>
    <w:link w:val="913"/>
    <w:uiPriority w:val="99"/>
    <w:rPr>
      <w:sz w:val="18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82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3">
    <w:name w:val="Heading 1"/>
    <w:basedOn w:val="872"/>
    <w:next w:val="872"/>
    <w:link w:val="885"/>
    <w:uiPriority w:val="9"/>
    <w:qFormat/>
    <w:pPr>
      <w:keepLines/>
      <w:keepNext/>
      <w:spacing w:before="480" w:line="276" w:lineRule="auto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874">
    <w:name w:val="Heading 2"/>
    <w:basedOn w:val="872"/>
    <w:next w:val="872"/>
    <w:link w:val="886"/>
    <w:unhideWhenUsed/>
    <w:qFormat/>
    <w:pPr>
      <w:keepLines/>
      <w:keepNext/>
      <w:spacing w:before="200" w:line="276" w:lineRule="auto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875">
    <w:name w:val="Heading 3"/>
    <w:basedOn w:val="872"/>
    <w:next w:val="872"/>
    <w:link w:val="887"/>
    <w:uiPriority w:val="9"/>
    <w:semiHidden/>
    <w:unhideWhenUsed/>
    <w:qFormat/>
    <w:pPr>
      <w:keepLines/>
      <w:keepNext/>
      <w:spacing w:before="40" w:line="276" w:lineRule="auto"/>
      <w:outlineLvl w:val="2"/>
    </w:pPr>
    <w:rPr>
      <w:rFonts w:asciiTheme="majorHAnsi" w:hAnsiTheme="majorHAnsi" w:eastAsiaTheme="majorEastAsia" w:cstheme="majorBidi"/>
      <w:color w:val="243f60" w:themeColor="accent1" w:themeShade="7F"/>
      <w:lang w:eastAsia="en-US"/>
    </w:rPr>
  </w:style>
  <w:style w:type="paragraph" w:styleId="876">
    <w:name w:val="Heading 4"/>
    <w:basedOn w:val="872"/>
    <w:next w:val="872"/>
    <w:link w:val="888"/>
    <w:uiPriority w:val="99"/>
    <w:qFormat/>
    <w:pPr>
      <w:numPr>
        <w:ilvl w:val="3"/>
        <w:numId w:val="20"/>
      </w:numPr>
      <w:keepNext/>
      <w:tabs>
        <w:tab w:val="num" w:pos="864" w:leader="none"/>
      </w:tabs>
      <w:outlineLvl w:val="3"/>
    </w:pPr>
    <w:rPr>
      <w:b/>
      <w:sz w:val="20"/>
      <w:szCs w:val="20"/>
      <w:lang w:val="en-US"/>
    </w:rPr>
  </w:style>
  <w:style w:type="paragraph" w:styleId="877">
    <w:name w:val="Heading 5"/>
    <w:basedOn w:val="872"/>
    <w:next w:val="872"/>
    <w:link w:val="889"/>
    <w:qFormat/>
    <w:pPr>
      <w:numPr>
        <w:ilvl w:val="4"/>
        <w:numId w:val="20"/>
      </w:numPr>
      <w:spacing w:before="240" w:after="60"/>
      <w:tabs>
        <w:tab w:val="num" w:pos="1008" w:leader="none"/>
      </w:tabs>
      <w:outlineLvl w:val="4"/>
    </w:pPr>
    <w:rPr>
      <w:sz w:val="22"/>
      <w:szCs w:val="20"/>
    </w:rPr>
  </w:style>
  <w:style w:type="paragraph" w:styleId="878">
    <w:name w:val="Heading 6"/>
    <w:basedOn w:val="872"/>
    <w:next w:val="872"/>
    <w:link w:val="890"/>
    <w:qFormat/>
    <w:pPr>
      <w:numPr>
        <w:ilvl w:val="5"/>
        <w:numId w:val="20"/>
      </w:numPr>
      <w:spacing w:before="240" w:after="60"/>
      <w:tabs>
        <w:tab w:val="num" w:pos="1152" w:leader="none"/>
      </w:tabs>
      <w:outlineLvl w:val="5"/>
    </w:pPr>
    <w:rPr>
      <w:i/>
      <w:sz w:val="22"/>
      <w:szCs w:val="20"/>
    </w:rPr>
  </w:style>
  <w:style w:type="paragraph" w:styleId="879">
    <w:name w:val="Heading 7"/>
    <w:basedOn w:val="872"/>
    <w:next w:val="872"/>
    <w:link w:val="891"/>
    <w:qFormat/>
    <w:pPr>
      <w:numPr>
        <w:ilvl w:val="6"/>
        <w:numId w:val="20"/>
      </w:numPr>
      <w:spacing w:before="240" w:after="60"/>
      <w:tabs>
        <w:tab w:val="num" w:pos="1296" w:leader="none"/>
      </w:tabs>
      <w:outlineLvl w:val="6"/>
    </w:pPr>
    <w:rPr>
      <w:rFonts w:ascii="Arial" w:hAnsi="Arial"/>
      <w:sz w:val="20"/>
      <w:szCs w:val="20"/>
    </w:rPr>
  </w:style>
  <w:style w:type="paragraph" w:styleId="880">
    <w:name w:val="Heading 8"/>
    <w:basedOn w:val="872"/>
    <w:next w:val="872"/>
    <w:link w:val="892"/>
    <w:qFormat/>
    <w:pPr>
      <w:numPr>
        <w:ilvl w:val="7"/>
        <w:numId w:val="20"/>
      </w:numPr>
      <w:spacing w:before="240" w:after="60"/>
      <w:tabs>
        <w:tab w:val="num" w:pos="1440" w:leader="none"/>
      </w:tabs>
      <w:outlineLvl w:val="7"/>
    </w:pPr>
    <w:rPr>
      <w:rFonts w:ascii="Arial" w:hAnsi="Arial"/>
      <w:i/>
      <w:sz w:val="20"/>
      <w:szCs w:val="20"/>
    </w:rPr>
  </w:style>
  <w:style w:type="paragraph" w:styleId="881">
    <w:name w:val="Heading 9"/>
    <w:basedOn w:val="872"/>
    <w:next w:val="872"/>
    <w:link w:val="893"/>
    <w:qFormat/>
    <w:pPr>
      <w:numPr>
        <w:ilvl w:val="8"/>
        <w:numId w:val="20"/>
      </w:numPr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  <w:szCs w:val="20"/>
    </w:rPr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character" w:styleId="885" w:customStyle="1">
    <w:name w:val="Заголовок 1 Знак"/>
    <w:basedOn w:val="882"/>
    <w:link w:val="87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6" w:customStyle="1">
    <w:name w:val="Заголовок 2 Знак"/>
    <w:basedOn w:val="882"/>
    <w:link w:val="874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87" w:customStyle="1">
    <w:name w:val="Заголовок 3 Знак"/>
    <w:basedOn w:val="882"/>
    <w:link w:val="875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888" w:customStyle="1">
    <w:name w:val="Заголовок 4 Знак"/>
    <w:basedOn w:val="882"/>
    <w:link w:val="876"/>
    <w:uiPriority w:val="99"/>
    <w:rPr>
      <w:rFonts w:ascii="Times New Roman" w:hAnsi="Times New Roman" w:eastAsia="Times New Roman" w:cs="Times New Roman"/>
      <w:b/>
      <w:sz w:val="20"/>
      <w:szCs w:val="20"/>
      <w:lang w:val="en-US" w:eastAsia="ru-RU"/>
    </w:rPr>
  </w:style>
  <w:style w:type="character" w:styleId="889" w:customStyle="1">
    <w:name w:val="Заголовок 5 Знак"/>
    <w:basedOn w:val="882"/>
    <w:link w:val="877"/>
    <w:rPr>
      <w:rFonts w:ascii="Times New Roman" w:hAnsi="Times New Roman" w:eastAsia="Times New Roman" w:cs="Times New Roman"/>
      <w:szCs w:val="20"/>
      <w:lang w:eastAsia="ru-RU"/>
    </w:rPr>
  </w:style>
  <w:style w:type="character" w:styleId="890" w:customStyle="1">
    <w:name w:val="Заголовок 6 Знак"/>
    <w:basedOn w:val="882"/>
    <w:link w:val="878"/>
    <w:rPr>
      <w:rFonts w:ascii="Times New Roman" w:hAnsi="Times New Roman" w:eastAsia="Times New Roman" w:cs="Times New Roman"/>
      <w:i/>
      <w:szCs w:val="20"/>
      <w:lang w:eastAsia="ru-RU"/>
    </w:rPr>
  </w:style>
  <w:style w:type="character" w:styleId="891" w:customStyle="1">
    <w:name w:val="Заголовок 7 Знак"/>
    <w:basedOn w:val="882"/>
    <w:link w:val="879"/>
    <w:rPr>
      <w:rFonts w:ascii="Arial" w:hAnsi="Arial" w:eastAsia="Times New Roman" w:cs="Times New Roman"/>
      <w:sz w:val="20"/>
      <w:szCs w:val="20"/>
      <w:lang w:eastAsia="ru-RU"/>
    </w:rPr>
  </w:style>
  <w:style w:type="character" w:styleId="892" w:customStyle="1">
    <w:name w:val="Заголовок 8 Знак"/>
    <w:basedOn w:val="882"/>
    <w:link w:val="880"/>
    <w:rPr>
      <w:rFonts w:ascii="Arial" w:hAnsi="Arial" w:eastAsia="Times New Roman" w:cs="Times New Roman"/>
      <w:i/>
      <w:sz w:val="20"/>
      <w:szCs w:val="20"/>
      <w:lang w:eastAsia="ru-RU"/>
    </w:rPr>
  </w:style>
  <w:style w:type="character" w:styleId="893" w:customStyle="1">
    <w:name w:val="Заголовок 9 Знак"/>
    <w:basedOn w:val="882"/>
    <w:link w:val="881"/>
    <w:rPr>
      <w:rFonts w:ascii="Arial" w:hAnsi="Arial" w:eastAsia="Times New Roman" w:cs="Times New Roman"/>
      <w:b/>
      <w:i/>
      <w:sz w:val="18"/>
      <w:szCs w:val="20"/>
      <w:lang w:eastAsia="ru-RU"/>
    </w:rPr>
  </w:style>
  <w:style w:type="paragraph" w:styleId="894">
    <w:name w:val="List Paragraph"/>
    <w:basedOn w:val="872"/>
    <w:link w:val="895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895" w:customStyle="1">
    <w:name w:val="Абзац списка Знак"/>
    <w:basedOn w:val="882"/>
    <w:link w:val="894"/>
    <w:uiPriority w:val="34"/>
    <w:qFormat/>
    <w:rPr>
      <w:rFonts w:ascii="Calibri" w:hAnsi="Calibri" w:eastAsia="Calibri" w:cs="Times New Roman"/>
    </w:rPr>
  </w:style>
  <w:style w:type="paragraph" w:styleId="896" w:customStyle="1">
    <w:name w:val="Style5"/>
    <w:basedOn w:val="872"/>
    <w:pPr>
      <w:spacing w:line="271" w:lineRule="exact"/>
      <w:widowControl w:val="off"/>
    </w:pPr>
  </w:style>
  <w:style w:type="character" w:styleId="897" w:customStyle="1">
    <w:name w:val="Font Style15"/>
    <w:rPr>
      <w:rFonts w:ascii="Times New Roman" w:hAnsi="Times New Roman" w:cs="Times New Roman"/>
      <w:sz w:val="22"/>
      <w:szCs w:val="22"/>
    </w:rPr>
  </w:style>
  <w:style w:type="paragraph" w:styleId="898">
    <w:name w:val="Balloon Text"/>
    <w:basedOn w:val="872"/>
    <w:link w:val="89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9" w:customStyle="1">
    <w:name w:val="Текст выноски Знак"/>
    <w:basedOn w:val="882"/>
    <w:link w:val="89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00">
    <w:name w:val="No Spacing"/>
    <w:uiPriority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901">
    <w:name w:val="Body Text 2"/>
    <w:basedOn w:val="872"/>
    <w:link w:val="902"/>
    <w:uiPriority w:val="99"/>
    <w:unhideWhenUsed/>
    <w:pPr>
      <w:spacing w:after="120" w:line="480" w:lineRule="auto"/>
    </w:pPr>
    <w:rPr>
      <w:rFonts w:eastAsiaTheme="minorHAnsi" w:cstheme="minorBidi"/>
      <w:szCs w:val="22"/>
      <w:lang w:eastAsia="en-US"/>
    </w:rPr>
  </w:style>
  <w:style w:type="character" w:styleId="902" w:customStyle="1">
    <w:name w:val="Основной текст 2 Знак"/>
    <w:basedOn w:val="882"/>
    <w:link w:val="901"/>
    <w:uiPriority w:val="99"/>
    <w:rPr>
      <w:rFonts w:ascii="Times New Roman" w:hAnsi="Times New Roman"/>
      <w:sz w:val="24"/>
    </w:rPr>
  </w:style>
  <w:style w:type="paragraph" w:styleId="903" w:customStyle="1">
    <w:name w:val="FR1"/>
    <w:uiPriority w:val="99"/>
    <w:pPr>
      <w:jc w:val="right"/>
      <w:spacing w:before="20" w:after="0" w:line="240" w:lineRule="auto"/>
      <w:widowControl w:val="off"/>
    </w:pPr>
    <w:rPr>
      <w:rFonts w:ascii="Arial" w:hAnsi="Arial" w:eastAsia="Times New Roman" w:cs="Times New Roman"/>
      <w:sz w:val="20"/>
      <w:szCs w:val="20"/>
      <w:lang w:eastAsia="ru-RU"/>
    </w:rPr>
  </w:style>
  <w:style w:type="paragraph" w:styleId="904">
    <w:name w:val="Plain Text"/>
    <w:basedOn w:val="872"/>
    <w:link w:val="905"/>
    <w:uiPriority w:val="99"/>
    <w:unhideWhenUsed/>
    <w:rPr>
      <w:rFonts w:ascii="Consolas" w:hAnsi="Consolas" w:eastAsia="Calibri"/>
      <w:sz w:val="21"/>
      <w:szCs w:val="21"/>
      <w:lang w:eastAsia="en-US"/>
    </w:rPr>
  </w:style>
  <w:style w:type="character" w:styleId="905" w:customStyle="1">
    <w:name w:val="Текст Знак"/>
    <w:basedOn w:val="882"/>
    <w:link w:val="904"/>
    <w:uiPriority w:val="99"/>
    <w:rPr>
      <w:rFonts w:ascii="Consolas" w:hAnsi="Consolas" w:eastAsia="Calibri" w:cs="Times New Roman"/>
      <w:sz w:val="21"/>
      <w:szCs w:val="21"/>
    </w:rPr>
  </w:style>
  <w:style w:type="character" w:styleId="906">
    <w:name w:val="footnote reference"/>
    <w:rPr>
      <w:vertAlign w:val="superscript"/>
    </w:rPr>
  </w:style>
  <w:style w:type="character" w:styleId="907">
    <w:name w:val="Hyperlink"/>
    <w:basedOn w:val="882"/>
    <w:unhideWhenUsed/>
    <w:rPr>
      <w:color w:val="0000ff"/>
      <w:u w:val="single"/>
    </w:rPr>
  </w:style>
  <w:style w:type="paragraph" w:styleId="908">
    <w:name w:val="Body Text"/>
    <w:basedOn w:val="872"/>
    <w:link w:val="909"/>
    <w:uiPriority w:val="99"/>
    <w:unhideWhenUsed/>
    <w:pPr>
      <w:spacing w:after="120" w:line="276" w:lineRule="auto"/>
    </w:pPr>
    <w:rPr>
      <w:rFonts w:eastAsiaTheme="minorHAnsi" w:cstheme="minorBidi"/>
      <w:szCs w:val="22"/>
      <w:lang w:eastAsia="en-US"/>
    </w:rPr>
  </w:style>
  <w:style w:type="character" w:styleId="909" w:customStyle="1">
    <w:name w:val="Основной текст Знак"/>
    <w:basedOn w:val="882"/>
    <w:link w:val="908"/>
    <w:uiPriority w:val="99"/>
    <w:rPr>
      <w:rFonts w:ascii="Times New Roman" w:hAnsi="Times New Roman"/>
      <w:sz w:val="24"/>
    </w:rPr>
  </w:style>
  <w:style w:type="paragraph" w:styleId="910">
    <w:name w:val="Header"/>
    <w:basedOn w:val="872"/>
    <w:link w:val="911"/>
    <w:pPr>
      <w:jc w:val="both"/>
      <w:spacing w:line="360" w:lineRule="atLeast"/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911" w:customStyle="1">
    <w:name w:val="Верхний колонтитул Знак"/>
    <w:basedOn w:val="882"/>
    <w:link w:val="91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12" w:customStyle="1">
    <w:name w:val="Body Text 22"/>
    <w:basedOn w:val="872"/>
    <w:pPr>
      <w:widowControl w:val="off"/>
    </w:pPr>
    <w:rPr>
      <w:szCs w:val="20"/>
    </w:rPr>
  </w:style>
  <w:style w:type="paragraph" w:styleId="913">
    <w:name w:val="footnote text"/>
    <w:basedOn w:val="872"/>
    <w:link w:val="914"/>
    <w:uiPriority w:val="99"/>
    <w:unhideWhenUsed/>
    <w:rPr>
      <w:sz w:val="20"/>
      <w:szCs w:val="20"/>
    </w:rPr>
  </w:style>
  <w:style w:type="character" w:styleId="914" w:customStyle="1">
    <w:name w:val="Текст сноски Знак"/>
    <w:basedOn w:val="882"/>
    <w:link w:val="91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5">
    <w:name w:val="annotation text"/>
    <w:basedOn w:val="872"/>
    <w:link w:val="916"/>
    <w:uiPriority w:val="99"/>
    <w:unhideWhenUsed/>
    <w:pPr>
      <w:spacing w:after="200"/>
    </w:pPr>
    <w:rPr>
      <w:rFonts w:eastAsiaTheme="minorHAnsi" w:cstheme="minorBidi"/>
      <w:sz w:val="20"/>
      <w:szCs w:val="20"/>
      <w:lang w:eastAsia="en-US"/>
    </w:rPr>
  </w:style>
  <w:style w:type="character" w:styleId="916" w:customStyle="1">
    <w:name w:val="Текст примечания Знак"/>
    <w:basedOn w:val="882"/>
    <w:link w:val="915"/>
    <w:uiPriority w:val="99"/>
    <w:rPr>
      <w:rFonts w:ascii="Times New Roman" w:hAnsi="Times New Roman"/>
      <w:sz w:val="20"/>
      <w:szCs w:val="20"/>
    </w:rPr>
  </w:style>
  <w:style w:type="character" w:styleId="917" w:customStyle="1">
    <w:name w:val="Тема примечания Знак"/>
    <w:basedOn w:val="916"/>
    <w:link w:val="918"/>
    <w:uiPriority w:val="99"/>
    <w:semiHidden/>
    <w:rPr>
      <w:rFonts w:ascii="Times New Roman" w:hAnsi="Times New Roman"/>
      <w:b/>
      <w:bCs/>
      <w:sz w:val="20"/>
      <w:szCs w:val="20"/>
    </w:rPr>
  </w:style>
  <w:style w:type="paragraph" w:styleId="918">
    <w:name w:val="annotation subject"/>
    <w:basedOn w:val="915"/>
    <w:next w:val="915"/>
    <w:link w:val="917"/>
    <w:uiPriority w:val="99"/>
    <w:semiHidden/>
    <w:unhideWhenUsed/>
    <w:rPr>
      <w:b/>
      <w:bCs/>
    </w:rPr>
  </w:style>
  <w:style w:type="character" w:styleId="919">
    <w:name w:val="Strong"/>
    <w:basedOn w:val="882"/>
    <w:uiPriority w:val="22"/>
    <w:qFormat/>
    <w:rPr>
      <w:b/>
      <w:bCs/>
    </w:rPr>
  </w:style>
  <w:style w:type="character" w:styleId="920" w:customStyle="1">
    <w:name w:val="Font Style16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styleId="921">
    <w:name w:val="Footer"/>
    <w:basedOn w:val="872"/>
    <w:link w:val="922"/>
    <w:uiPriority w:val="99"/>
    <w:unhideWhenUsed/>
    <w:pPr>
      <w:tabs>
        <w:tab w:val="center" w:pos="4677" w:leader="none"/>
        <w:tab w:val="right" w:pos="9355" w:leader="none"/>
      </w:tabs>
    </w:pPr>
    <w:rPr>
      <w:rFonts w:eastAsiaTheme="minorHAnsi" w:cstheme="minorBidi"/>
      <w:szCs w:val="22"/>
      <w:lang w:eastAsia="en-US"/>
    </w:rPr>
  </w:style>
  <w:style w:type="character" w:styleId="922" w:customStyle="1">
    <w:name w:val="Нижний колонтитул Знак"/>
    <w:basedOn w:val="882"/>
    <w:link w:val="921"/>
    <w:uiPriority w:val="99"/>
    <w:rPr>
      <w:rFonts w:ascii="Times New Roman" w:hAnsi="Times New Roman"/>
      <w:sz w:val="24"/>
    </w:rPr>
  </w:style>
  <w:style w:type="paragraph" w:styleId="923" w:customStyle="1">
    <w:name w:val="Указатель 2"/>
    <w:semiHidden/>
    <w:pPr>
      <w:numPr>
        <w:ilvl w:val="1"/>
        <w:numId w:val="24"/>
      </w:numPr>
      <w:contextualSpacing w:val="0"/>
      <w:ind w:left="792" w:right="0" w:hanging="432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24" w:customStyle="1">
    <w:name w:val="Пункт2"/>
    <w:pPr>
      <w:numPr>
        <w:ilvl w:val="2"/>
        <w:numId w:val="24"/>
      </w:numPr>
      <w:contextualSpacing w:val="0"/>
      <w:ind w:left="1134" w:right="0" w:hanging="1134"/>
      <w:jc w:val="left"/>
      <w:keepLines w:val="0"/>
      <w:keepNext/>
      <w:pageBreakBefore w:val="0"/>
      <w:spacing w:before="240" w:beforeAutospacing="0" w:after="120" w:afterAutospacing="0" w:line="240" w:lineRule="auto"/>
      <w:shd w:val="nil"/>
      <w:widowControl/>
      <w:tabs>
        <w:tab w:val="num" w:pos="1134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25" w:customStyle="1">
    <w:name w:val="Абзац списка,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26" w:customStyle="1">
    <w:name w:val="Заголовок 1,Document Header1,H1,Введение...,Б1,Heading 1iz,Б11,Заголовок 1_стандарта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I"/>
    <w:uiPriority w:val="9"/>
    <w:qFormat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Arial" w:hAnsi="Arial" w:eastAsia="Times New Roman" w:cs="Arial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80116-1FAC-4DAC-B638-17FF94F5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grishanov-ia</cp:lastModifiedBy>
  <cp:revision>14</cp:revision>
  <dcterms:created xsi:type="dcterms:W3CDTF">2025-02-28T06:07:00Z</dcterms:created>
  <dcterms:modified xsi:type="dcterms:W3CDTF">2025-12-08T11:02:48Z</dcterms:modified>
</cp:coreProperties>
</file>